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7DB9B407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335316" w:rsidRPr="00335316">
        <w:rPr>
          <w:rFonts w:ascii="ＭＳ Ｐ明朝" w:eastAsia="ＭＳ Ｐ明朝" w:hAnsi="ＭＳ Ｐ明朝" w:hint="eastAsia"/>
          <w:sz w:val="22"/>
        </w:rPr>
        <w:t>臨床検査</w:t>
      </w:r>
      <w:r w:rsidR="00771752" w:rsidRPr="00335316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35316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2025-05-24T05:29:00Z</dcterms:modified>
</cp:coreProperties>
</file>